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2EBA32B3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2B5C4A">
        <w:rPr>
          <w:b/>
          <w:i/>
          <w:noProof/>
          <w:sz w:val="28"/>
        </w:rPr>
        <w:t>7852</w:t>
      </w:r>
    </w:p>
    <w:p w14:paraId="2A27B494" w14:textId="522BA0AC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BA2D27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1A23CA" w:rsidRPr="001A23CA">
        <w:rPr>
          <w:rFonts w:ascii="Arial" w:hAnsi="Arial" w:cs="Arial"/>
          <w:bCs/>
        </w:rPr>
        <w:t>LS on Subscription of UPF event via I-SMF</w:t>
      </w:r>
    </w:p>
    <w:p w14:paraId="0C67D176" w14:textId="154F37D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23CA" w:rsidRPr="001A23CA">
        <w:rPr>
          <w:rFonts w:ascii="Arial" w:hAnsi="Arial" w:cs="Arial"/>
          <w:bCs/>
        </w:rPr>
        <w:t>S2-2407446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655A6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179B9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CT4</w:t>
      </w:r>
    </w:p>
    <w:p w14:paraId="5A46F238" w14:textId="1C19B79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821B5C9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SA2 23.501</w:t>
      </w:r>
      <w:r w:rsidR="002B5C4A">
        <w:rPr>
          <w:rFonts w:ascii="Arial" w:hAnsi="Arial" w:cs="Arial"/>
          <w:bCs/>
        </w:rPr>
        <w:t xml:space="preserve"> </w:t>
      </w:r>
      <w:r w:rsidR="001A23CA">
        <w:rPr>
          <w:rFonts w:ascii="Arial" w:hAnsi="Arial" w:cs="Arial"/>
          <w:bCs/>
        </w:rPr>
        <w:t>CR</w:t>
      </w:r>
      <w:r w:rsidR="002B5C4A">
        <w:rPr>
          <w:rFonts w:ascii="Arial" w:hAnsi="Arial" w:cs="Arial"/>
          <w:bCs/>
        </w:rPr>
        <w:t>5473</w:t>
      </w:r>
      <w:r w:rsidR="001A23CA">
        <w:rPr>
          <w:rFonts w:ascii="Arial" w:hAnsi="Arial" w:cs="Arial"/>
          <w:bCs/>
        </w:rPr>
        <w:t xml:space="preserve"> and 23.502</w:t>
      </w:r>
      <w:r w:rsidR="00607C98">
        <w:rPr>
          <w:rFonts w:ascii="Arial" w:hAnsi="Arial" w:cs="Arial"/>
          <w:bCs/>
        </w:rPr>
        <w:t xml:space="preserve"> </w:t>
      </w:r>
      <w:r w:rsidR="001A23CA">
        <w:rPr>
          <w:rFonts w:ascii="Arial" w:hAnsi="Arial" w:cs="Arial"/>
          <w:bCs/>
        </w:rPr>
        <w:t>CR4786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057C614B" w14:textId="6EB1D511" w:rsidR="001A23CA" w:rsidRDefault="007F12A4" w:rsidP="001A23CA">
      <w:pPr>
        <w:rPr>
          <w:rFonts w:ascii="Arial" w:hAnsi="Arial" w:cs="Arial"/>
        </w:rPr>
      </w:pPr>
      <w:bookmarkStart w:id="3" w:name="_Hlk46758011"/>
      <w:r w:rsidRPr="001A23CA">
        <w:rPr>
          <w:rFonts w:ascii="Arial" w:hAnsi="Arial" w:cs="Arial"/>
        </w:rPr>
        <w:t xml:space="preserve">SA2 thanks </w:t>
      </w:r>
      <w:r w:rsidR="001A23CA">
        <w:rPr>
          <w:rFonts w:ascii="Arial" w:hAnsi="Arial" w:cs="Arial"/>
        </w:rPr>
        <w:t>CT4</w:t>
      </w:r>
      <w:r w:rsidRPr="001A23CA">
        <w:rPr>
          <w:rFonts w:ascii="Arial" w:hAnsi="Arial" w:cs="Arial"/>
        </w:rPr>
        <w:t xml:space="preserve"> for their LS. </w:t>
      </w:r>
      <w:r w:rsidR="00F761B6" w:rsidRPr="001A23CA">
        <w:rPr>
          <w:rFonts w:ascii="Arial" w:hAnsi="Arial" w:cs="Arial"/>
        </w:rPr>
        <w:t xml:space="preserve">SA2 </w:t>
      </w:r>
      <w:r w:rsidR="00F15CBB" w:rsidRPr="001A23CA">
        <w:rPr>
          <w:rFonts w:ascii="Arial" w:hAnsi="Arial" w:cs="Arial"/>
        </w:rPr>
        <w:t>have discussed</w:t>
      </w:r>
      <w:r w:rsidRPr="001A23CA">
        <w:rPr>
          <w:rFonts w:ascii="Arial" w:hAnsi="Arial" w:cs="Arial"/>
        </w:rPr>
        <w:t xml:space="preserve"> it and</w:t>
      </w:r>
      <w:bookmarkEnd w:id="3"/>
      <w:r w:rsidR="001A23CA" w:rsidRPr="001A23CA">
        <w:rPr>
          <w:rFonts w:ascii="Arial" w:hAnsi="Arial" w:cs="Arial"/>
        </w:rPr>
        <w:t xml:space="preserve"> has the following answers to CT4 observations on CR 23.502 #4786 rev.</w:t>
      </w:r>
      <w:proofErr w:type="gramStart"/>
      <w:r w:rsidR="001A23CA" w:rsidRPr="001A23CA">
        <w:rPr>
          <w:rFonts w:ascii="Arial" w:hAnsi="Arial" w:cs="Arial"/>
        </w:rPr>
        <w:t>3 :</w:t>
      </w:r>
      <w:proofErr w:type="gramEnd"/>
      <w:r w:rsidR="001A23CA" w:rsidRPr="001A23CA">
        <w:rPr>
          <w:rFonts w:ascii="Arial" w:hAnsi="Arial" w:cs="Arial"/>
        </w:rPr>
        <w:t xml:space="preserve"> </w:t>
      </w:r>
    </w:p>
    <w:p w14:paraId="27E3302F" w14:textId="77777777" w:rsidR="00607C98" w:rsidRPr="001A23CA" w:rsidRDefault="00607C98" w:rsidP="001A23CA">
      <w:pPr>
        <w:rPr>
          <w:rFonts w:ascii="Arial" w:hAnsi="Arial" w:cs="Arial"/>
        </w:rPr>
      </w:pPr>
    </w:p>
    <w:p w14:paraId="0FAD21A9" w14:textId="70118BDC" w:rsidR="001A23CA" w:rsidRPr="001A23CA" w:rsidRDefault="001A23CA" w:rsidP="00DC7F37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 xml:space="preserve">: “whether SA2 considered both approaches above, and if so, on which criteria should the anchor SMF invoke the </w:t>
      </w:r>
      <w:proofErr w:type="spellStart"/>
      <w:r w:rsidRPr="001A23CA">
        <w:rPr>
          <w:rFonts w:ascii="Arial" w:hAnsi="Arial" w:cs="Arial"/>
          <w:sz w:val="20"/>
        </w:rPr>
        <w:t>Nsmf_PDUSession</w:t>
      </w:r>
      <w:proofErr w:type="spellEnd"/>
      <w:r w:rsidRPr="001A23CA">
        <w:rPr>
          <w:rFonts w:ascii="Arial" w:hAnsi="Arial" w:cs="Arial"/>
          <w:sz w:val="20"/>
        </w:rPr>
        <w:t xml:space="preserve"> API vs. the </w:t>
      </w:r>
      <w:proofErr w:type="spellStart"/>
      <w:r w:rsidRPr="001A23CA">
        <w:rPr>
          <w:rFonts w:ascii="Arial" w:hAnsi="Arial" w:cs="Arial"/>
          <w:sz w:val="20"/>
        </w:rPr>
        <w:t>Nsmf_EventExposure</w:t>
      </w:r>
      <w:proofErr w:type="spellEnd"/>
      <w:r w:rsidRPr="001A23CA">
        <w:rPr>
          <w:rFonts w:ascii="Arial" w:hAnsi="Arial" w:cs="Arial"/>
          <w:sz w:val="20"/>
        </w:rPr>
        <w:t xml:space="preserve"> to subscribe to UPF events via the I-SMF?”</w:t>
      </w:r>
    </w:p>
    <w:p w14:paraId="72C64622" w14:textId="66E9C289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>SA2 has revised the</w:t>
      </w:r>
      <w:r w:rsidR="007A2DCC">
        <w:rPr>
          <w:rFonts w:ascii="Arial" w:hAnsi="Arial" w:cs="Arial"/>
          <w:sz w:val="20"/>
        </w:rPr>
        <w:t xml:space="preserve"> 23.502</w:t>
      </w:r>
      <w:r>
        <w:rPr>
          <w:rFonts w:ascii="Arial" w:hAnsi="Arial" w:cs="Arial"/>
          <w:sz w:val="20"/>
        </w:rPr>
        <w:t xml:space="preserve"> CR (see attachment) to use </w:t>
      </w:r>
      <w:proofErr w:type="spellStart"/>
      <w:r w:rsidRPr="001A23CA">
        <w:rPr>
          <w:rFonts w:ascii="Arial" w:hAnsi="Arial" w:cs="Arial"/>
          <w:sz w:val="20"/>
        </w:rPr>
        <w:t>Nsmf_EventExposure</w:t>
      </w:r>
      <w:proofErr w:type="spellEnd"/>
      <w:r w:rsidRPr="001A23C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for the anchor SMF </w:t>
      </w:r>
      <w:r w:rsidRPr="001A23CA">
        <w:rPr>
          <w:rFonts w:ascii="Arial" w:hAnsi="Arial" w:cs="Arial"/>
          <w:sz w:val="20"/>
        </w:rPr>
        <w:t>to subscribe to UPF events via the I-SMF.</w:t>
      </w:r>
    </w:p>
    <w:p w14:paraId="74689401" w14:textId="77777777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07BAE337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whether the anchor SMF should be able to determine if the requested UPF events/service are supported by the I-SMF/I-UPF, before triggering a subscription towards the I-SMF, and if so, how.</w:t>
      </w:r>
    </w:p>
    <w:p w14:paraId="27AB5EDE" w14:textId="2AE79744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Pr="001A23CA">
        <w:rPr>
          <w:rFonts w:ascii="Arial" w:hAnsi="Arial" w:cs="Arial"/>
          <w:sz w:val="20"/>
          <w:lang w:val="en-GB"/>
        </w:rPr>
        <w:t xml:space="preserve">SMF </w:t>
      </w:r>
      <w:r>
        <w:rPr>
          <w:rFonts w:ascii="Arial" w:hAnsi="Arial" w:cs="Arial"/>
          <w:sz w:val="20"/>
          <w:lang w:val="en-GB"/>
        </w:rPr>
        <w:t>needs to</w:t>
      </w:r>
      <w:r w:rsidRPr="001A23CA">
        <w:rPr>
          <w:rFonts w:ascii="Arial" w:hAnsi="Arial" w:cs="Arial"/>
          <w:sz w:val="20"/>
          <w:lang w:val="en-GB"/>
        </w:rPr>
        <w:t xml:space="preserve"> be able to determine </w:t>
      </w:r>
      <w:r>
        <w:rPr>
          <w:rFonts w:ascii="Arial" w:hAnsi="Arial" w:cs="Arial"/>
          <w:sz w:val="20"/>
          <w:lang w:val="en-GB"/>
        </w:rPr>
        <w:t>whether</w:t>
      </w:r>
      <w:r w:rsidRPr="001A23CA">
        <w:rPr>
          <w:rFonts w:ascii="Arial" w:hAnsi="Arial" w:cs="Arial"/>
          <w:sz w:val="20"/>
          <w:lang w:val="en-GB"/>
        </w:rPr>
        <w:t xml:space="preserve"> relaying of UPF events is supported by the I-SMF. </w:t>
      </w:r>
      <w:r>
        <w:rPr>
          <w:rFonts w:ascii="Arial" w:hAnsi="Arial" w:cs="Arial"/>
          <w:sz w:val="20"/>
          <w:lang w:val="en-GB"/>
        </w:rPr>
        <w:t>About</w:t>
      </w:r>
      <w:r w:rsidRPr="001A23CA">
        <w:rPr>
          <w:rFonts w:ascii="Arial" w:hAnsi="Arial" w:cs="Arial"/>
          <w:sz w:val="20"/>
          <w:lang w:val="en-GB"/>
        </w:rPr>
        <w:t xml:space="preserve"> what local UPF</w:t>
      </w:r>
      <w:r>
        <w:rPr>
          <w:rFonts w:ascii="Arial" w:hAnsi="Arial" w:cs="Arial"/>
          <w:sz w:val="20"/>
          <w:lang w:val="en-GB"/>
        </w:rPr>
        <w:t>(s)</w:t>
      </w:r>
      <w:r w:rsidRPr="001A23CA">
        <w:rPr>
          <w:rFonts w:ascii="Arial" w:hAnsi="Arial" w:cs="Arial"/>
          <w:sz w:val="20"/>
          <w:lang w:val="en-GB"/>
        </w:rPr>
        <w:t xml:space="preserve"> controlled by I-SMF support, </w:t>
      </w:r>
      <w:r>
        <w:rPr>
          <w:rFonts w:ascii="Arial" w:hAnsi="Arial" w:cs="Arial"/>
          <w:sz w:val="20"/>
          <w:lang w:val="en-GB"/>
        </w:rPr>
        <w:t xml:space="preserve">the </w:t>
      </w:r>
      <w:r w:rsidRPr="001A23CA">
        <w:rPr>
          <w:rFonts w:ascii="Arial" w:hAnsi="Arial" w:cs="Arial"/>
          <w:sz w:val="20"/>
          <w:lang w:val="en-GB"/>
        </w:rPr>
        <w:t xml:space="preserve">determination </w:t>
      </w:r>
      <w:r>
        <w:rPr>
          <w:rFonts w:ascii="Arial" w:hAnsi="Arial" w:cs="Arial"/>
          <w:sz w:val="20"/>
          <w:lang w:val="en-GB"/>
        </w:rPr>
        <w:t>is</w:t>
      </w:r>
      <w:r w:rsidRPr="001A23CA">
        <w:rPr>
          <w:rFonts w:ascii="Arial" w:hAnsi="Arial" w:cs="Arial"/>
          <w:sz w:val="20"/>
          <w:lang w:val="en-GB"/>
        </w:rPr>
        <w:t xml:space="preserve"> up to I-SM</w:t>
      </w:r>
      <w:r>
        <w:rPr>
          <w:rFonts w:ascii="Arial" w:hAnsi="Arial" w:cs="Arial"/>
          <w:sz w:val="20"/>
          <w:lang w:val="en-GB"/>
        </w:rPr>
        <w:t xml:space="preserve">F. Which means I-SMF may reject a </w:t>
      </w:r>
      <w:proofErr w:type="spellStart"/>
      <w:r w:rsidRPr="001A23CA">
        <w:rPr>
          <w:rFonts w:ascii="Arial" w:hAnsi="Arial" w:cs="Arial"/>
          <w:sz w:val="20"/>
        </w:rPr>
        <w:t>Nsmf_EventExposure</w:t>
      </w:r>
      <w:proofErr w:type="spellEnd"/>
      <w:r>
        <w:rPr>
          <w:rFonts w:ascii="Arial" w:hAnsi="Arial" w:cs="Arial"/>
          <w:sz w:val="20"/>
        </w:rPr>
        <w:t xml:space="preserve"> </w:t>
      </w:r>
      <w:r w:rsidR="007A2DCC">
        <w:rPr>
          <w:rFonts w:ascii="Arial" w:hAnsi="Arial" w:cs="Arial"/>
          <w:sz w:val="20"/>
        </w:rPr>
        <w:t xml:space="preserve">SUBSCRIBE </w:t>
      </w:r>
      <w:r>
        <w:rPr>
          <w:rFonts w:ascii="Arial" w:hAnsi="Arial" w:cs="Arial"/>
          <w:sz w:val="20"/>
        </w:rPr>
        <w:t xml:space="preserve">from </w:t>
      </w:r>
      <w:r w:rsidR="007A2DCC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 xml:space="preserve">anchor SMF if one of the </w:t>
      </w:r>
      <w:proofErr w:type="gramStart"/>
      <w:r>
        <w:rPr>
          <w:rFonts w:ascii="Arial" w:hAnsi="Arial" w:cs="Arial"/>
          <w:sz w:val="20"/>
        </w:rPr>
        <w:t>target</w:t>
      </w:r>
      <w:proofErr w:type="gramEnd"/>
      <w:r>
        <w:rPr>
          <w:rFonts w:ascii="Arial" w:hAnsi="Arial" w:cs="Arial"/>
          <w:sz w:val="20"/>
        </w:rPr>
        <w:t xml:space="preserve"> local UPF(s) do</w:t>
      </w:r>
      <w:r w:rsidR="007A2DCC">
        <w:rPr>
          <w:rFonts w:ascii="Arial" w:hAnsi="Arial" w:cs="Arial"/>
          <w:sz w:val="20"/>
        </w:rPr>
        <w:t>es</w:t>
      </w:r>
      <w:r>
        <w:rPr>
          <w:rFonts w:ascii="Arial" w:hAnsi="Arial" w:cs="Arial"/>
          <w:sz w:val="20"/>
        </w:rPr>
        <w:t>n’t support</w:t>
      </w:r>
      <w:r w:rsidR="007A2DCC">
        <w:rPr>
          <w:rFonts w:ascii="Arial" w:hAnsi="Arial" w:cs="Arial"/>
          <w:sz w:val="20"/>
        </w:rPr>
        <w:t xml:space="preserve"> the event</w:t>
      </w:r>
      <w:r w:rsidRPr="001A23CA">
        <w:rPr>
          <w:rFonts w:ascii="Arial" w:hAnsi="Arial" w:cs="Arial"/>
          <w:sz w:val="20"/>
        </w:rPr>
        <w:t>.</w:t>
      </w:r>
    </w:p>
    <w:p w14:paraId="7FF118B2" w14:textId="746332BA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6B02D9DB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 xml:space="preserve">: whether the anchor SMF may need to subscribe to UPF events at the ULCL/BP and/or at the local PSA </w:t>
      </w:r>
      <w:proofErr w:type="gramStart"/>
      <w:r w:rsidRPr="001A23CA">
        <w:rPr>
          <w:rFonts w:ascii="Arial" w:hAnsi="Arial" w:cs="Arial"/>
          <w:sz w:val="20"/>
        </w:rPr>
        <w:t>UPF;</w:t>
      </w:r>
      <w:proofErr w:type="gramEnd"/>
    </w:p>
    <w:p w14:paraId="676C8B2F" w14:textId="7D682E30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="007A2DCC" w:rsidRPr="001A23CA">
        <w:rPr>
          <w:rFonts w:ascii="Arial" w:hAnsi="Arial" w:cs="Arial"/>
          <w:sz w:val="20"/>
        </w:rPr>
        <w:t xml:space="preserve">the anchor SMF may need to subscribe to UPF events at the </w:t>
      </w:r>
      <w:r w:rsidR="007A2DCC">
        <w:rPr>
          <w:rFonts w:ascii="Arial" w:hAnsi="Arial" w:cs="Arial"/>
          <w:sz w:val="20"/>
        </w:rPr>
        <w:t xml:space="preserve">local </w:t>
      </w:r>
      <w:r w:rsidR="007A2DCC" w:rsidRPr="001A23CA">
        <w:rPr>
          <w:rFonts w:ascii="Arial" w:hAnsi="Arial" w:cs="Arial"/>
          <w:sz w:val="20"/>
        </w:rPr>
        <w:t xml:space="preserve">ULCL/BP and/or at </w:t>
      </w:r>
      <w:r w:rsidR="007A2DCC">
        <w:rPr>
          <w:rFonts w:ascii="Arial" w:hAnsi="Arial" w:cs="Arial"/>
          <w:sz w:val="20"/>
        </w:rPr>
        <w:t>a</w:t>
      </w:r>
      <w:r w:rsidR="007A2DCC" w:rsidRPr="001A23CA">
        <w:rPr>
          <w:rFonts w:ascii="Arial" w:hAnsi="Arial" w:cs="Arial"/>
          <w:sz w:val="20"/>
        </w:rPr>
        <w:t xml:space="preserve"> local PSA UPF</w:t>
      </w:r>
      <w:r w:rsidRPr="001A23CA">
        <w:rPr>
          <w:rFonts w:ascii="Arial" w:hAnsi="Arial" w:cs="Arial"/>
          <w:sz w:val="20"/>
        </w:rPr>
        <w:t>.</w:t>
      </w:r>
    </w:p>
    <w:p w14:paraId="5F4D6FBB" w14:textId="4A24882E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76891B15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how to support subscriptions at the anchor SMF targeting ANY UE, e.g. ANY UE in a specific area, e.g. whether the anchor SMF should determine by itself the UEs present in the specific area and trigger then subscriptions, per PDU session, for the corresponding UEs?</w:t>
      </w:r>
    </w:p>
    <w:p w14:paraId="38C43792" w14:textId="0353DCA2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="007A2DCC">
        <w:rPr>
          <w:rFonts w:ascii="Arial" w:hAnsi="Arial" w:cs="Arial"/>
          <w:sz w:val="20"/>
        </w:rPr>
        <w:t>SA2 has revised the 23.502 CR (see attachment) to clarify this point</w:t>
      </w:r>
      <w:r w:rsidRPr="001A23CA">
        <w:rPr>
          <w:rFonts w:ascii="Arial" w:hAnsi="Arial" w:cs="Arial"/>
          <w:sz w:val="20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1C24AF" w14:textId="77777777" w:rsidR="00607C98" w:rsidRPr="00B6658B" w:rsidRDefault="00607C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E9B7A2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A23CA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3B52DA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A23CA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67EEEF7" w14:textId="77777777" w:rsidR="00607C98" w:rsidRDefault="00607C98">
      <w:pPr>
        <w:spacing w:after="120"/>
        <w:ind w:left="993" w:hanging="993"/>
        <w:rPr>
          <w:rFonts w:ascii="Arial" w:hAnsi="Arial" w:cs="Arial"/>
        </w:rPr>
      </w:pPr>
    </w:p>
    <w:p w14:paraId="5F9E9110" w14:textId="77777777" w:rsidR="00607C98" w:rsidRDefault="00607C98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85E3B" w14:textId="77777777" w:rsidR="006A6006" w:rsidRDefault="006A6006">
      <w:r>
        <w:separator/>
      </w:r>
    </w:p>
  </w:endnote>
  <w:endnote w:type="continuationSeparator" w:id="0">
    <w:p w14:paraId="77A7FC17" w14:textId="77777777" w:rsidR="006A6006" w:rsidRDefault="006A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E7D69" w14:textId="77777777" w:rsidR="006A6006" w:rsidRDefault="006A6006">
      <w:r>
        <w:separator/>
      </w:r>
    </w:p>
  </w:footnote>
  <w:footnote w:type="continuationSeparator" w:id="0">
    <w:p w14:paraId="5F0627C7" w14:textId="77777777" w:rsidR="006A6006" w:rsidRDefault="006A6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2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1"/>
  </w:num>
  <w:num w:numId="17" w16cid:durableId="775323520">
    <w:abstractNumId w:val="4"/>
  </w:num>
  <w:num w:numId="18" w16cid:durableId="17227498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4898"/>
    <w:rsid w:val="00175A89"/>
    <w:rsid w:val="0018293A"/>
    <w:rsid w:val="001963DC"/>
    <w:rsid w:val="001A23CA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5488"/>
    <w:rsid w:val="002B5C4A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7C98"/>
    <w:rsid w:val="00614AAB"/>
    <w:rsid w:val="006209AE"/>
    <w:rsid w:val="00620BCF"/>
    <w:rsid w:val="00621343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6006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11977"/>
    <w:rsid w:val="007320FA"/>
    <w:rsid w:val="007343EF"/>
    <w:rsid w:val="0073589D"/>
    <w:rsid w:val="007754EA"/>
    <w:rsid w:val="007927AB"/>
    <w:rsid w:val="007A1243"/>
    <w:rsid w:val="007A1555"/>
    <w:rsid w:val="007A2DCC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466D"/>
    <w:rsid w:val="00DE57AD"/>
    <w:rsid w:val="00DF10D2"/>
    <w:rsid w:val="00DF7A7A"/>
    <w:rsid w:val="00E00A0B"/>
    <w:rsid w:val="00E0239B"/>
    <w:rsid w:val="00E04590"/>
    <w:rsid w:val="00E2615C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19</cp:revision>
  <cp:lastPrinted>2002-04-23T07:10:00Z</cp:lastPrinted>
  <dcterms:created xsi:type="dcterms:W3CDTF">2023-01-03T10:59:00Z</dcterms:created>
  <dcterms:modified xsi:type="dcterms:W3CDTF">2024-08-09T09:28:00Z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